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71408" w14:textId="1637B223" w:rsidR="00EA474D" w:rsidRDefault="004C5ED1" w:rsidP="002B117C">
      <w:pPr>
        <w:pStyle w:val="Heading1"/>
      </w:pPr>
      <w:bookmarkStart w:id="0" w:name="_GoBack"/>
      <w:r>
        <w:t>Organic carbon burial in the Cretaceous Transkei Basin</w:t>
      </w:r>
      <w:r w:rsidR="00E372DE">
        <w:t xml:space="preserve">: first bulk </w:t>
      </w:r>
      <w:bookmarkEnd w:id="0"/>
      <w:r w:rsidR="00E372DE">
        <w:t>geochemical results from IODP U1851</w:t>
      </w:r>
    </w:p>
    <w:p w14:paraId="7C05DAD7" w14:textId="77777777" w:rsidR="002B117C" w:rsidRPr="002B117C" w:rsidRDefault="002B117C" w:rsidP="002B117C"/>
    <w:p w14:paraId="52B285AC" w14:textId="74DEEE47" w:rsidR="00E372DE" w:rsidRDefault="00E372DE" w:rsidP="002B117C">
      <w:pPr>
        <w:pStyle w:val="Heading3"/>
      </w:pPr>
      <w:r>
        <w:t>Ben</w:t>
      </w:r>
      <w:r w:rsidR="00B05193">
        <w:t>edict Aduomahor</w:t>
      </w:r>
      <w:r w:rsidR="00B05193">
        <w:rPr>
          <w:vertAlign w:val="superscript"/>
        </w:rPr>
        <w:t>1*</w:t>
      </w:r>
      <w:r>
        <w:t>, T</w:t>
      </w:r>
      <w:r w:rsidR="00B05193">
        <w:t>h</w:t>
      </w:r>
      <w:r>
        <w:t>om</w:t>
      </w:r>
      <w:r w:rsidR="00B05193">
        <w:t>as Wagner</w:t>
      </w:r>
      <w:r w:rsidR="00B05193">
        <w:rPr>
          <w:vertAlign w:val="superscript"/>
        </w:rPr>
        <w:t>1</w:t>
      </w:r>
      <w:r>
        <w:t>, Jens</w:t>
      </w:r>
      <w:r w:rsidR="00B05193">
        <w:t xml:space="preserve"> Herrle</w:t>
      </w:r>
      <w:r w:rsidR="00B05193">
        <w:rPr>
          <w:vertAlign w:val="superscript"/>
        </w:rPr>
        <w:t>2</w:t>
      </w:r>
      <w:r>
        <w:t>, Peter</w:t>
      </w:r>
      <w:r w:rsidR="00B05193">
        <w:t xml:space="preserve"> Hoffman</w:t>
      </w:r>
      <w:r w:rsidR="00B05193">
        <w:rPr>
          <w:vertAlign w:val="superscript"/>
        </w:rPr>
        <w:t>3</w:t>
      </w:r>
      <w:r>
        <w:t>, Wolf</w:t>
      </w:r>
      <w:r w:rsidR="00B05193">
        <w:t xml:space="preserve"> </w:t>
      </w:r>
      <w:r w:rsidR="00864E13">
        <w:t>Dummann</w:t>
      </w:r>
      <w:r w:rsidR="00864E13">
        <w:rPr>
          <w:vertAlign w:val="superscript"/>
        </w:rPr>
        <w:t>2</w:t>
      </w:r>
      <w:r>
        <w:t>,</w:t>
      </w:r>
      <w:r w:rsidR="00B05193">
        <w:t xml:space="preserve"> </w:t>
      </w:r>
      <w:r w:rsidR="00E40094">
        <w:t>Kelsey Doiron</w:t>
      </w:r>
      <w:r w:rsidR="00E40094" w:rsidRPr="00E40094">
        <w:rPr>
          <w:vertAlign w:val="superscript"/>
        </w:rPr>
        <w:t>4</w:t>
      </w:r>
      <w:r w:rsidR="00E40094">
        <w:t>, Peter Bijl</w:t>
      </w:r>
      <w:r w:rsidR="00C01F70">
        <w:rPr>
          <w:vertAlign w:val="superscript"/>
        </w:rPr>
        <w:t>5</w:t>
      </w:r>
      <w:r w:rsidR="00E40094">
        <w:t xml:space="preserve">, </w:t>
      </w:r>
      <w:r w:rsidR="00B05193">
        <w:t>Gabriele Uenzelmann-Neben</w:t>
      </w:r>
      <w:r w:rsidR="00C01F70">
        <w:rPr>
          <w:vertAlign w:val="superscript"/>
        </w:rPr>
        <w:t>6</w:t>
      </w:r>
      <w:r w:rsidR="00B05193">
        <w:t xml:space="preserve">, </w:t>
      </w:r>
      <w:r w:rsidR="00FD054F">
        <w:t xml:space="preserve">Steven </w:t>
      </w:r>
      <w:r w:rsidR="00B05193">
        <w:t>Bohaty</w:t>
      </w:r>
      <w:r w:rsidR="00C01F70">
        <w:rPr>
          <w:vertAlign w:val="superscript"/>
        </w:rPr>
        <w:t>7</w:t>
      </w:r>
      <w:r w:rsidR="00E40094">
        <w:t xml:space="preserve">, </w:t>
      </w:r>
      <w:r w:rsidR="00FD054F">
        <w:t xml:space="preserve">Laurel </w:t>
      </w:r>
      <w:r w:rsidR="00B05193">
        <w:t>Childress</w:t>
      </w:r>
      <w:r w:rsidR="00C01F70">
        <w:rPr>
          <w:vertAlign w:val="superscript"/>
        </w:rPr>
        <w:t>8</w:t>
      </w:r>
      <w:r w:rsidR="00B05193">
        <w:t xml:space="preserve"> and Expedition 392 Scientists</w:t>
      </w:r>
      <w:r w:rsidRPr="002B117C">
        <w:t xml:space="preserve"> </w:t>
      </w:r>
    </w:p>
    <w:p w14:paraId="2CAC6741" w14:textId="77777777" w:rsidR="00E372DE" w:rsidRDefault="00E372DE" w:rsidP="002B117C">
      <w:pPr>
        <w:pStyle w:val="Heading3"/>
      </w:pPr>
    </w:p>
    <w:p w14:paraId="13C6B902" w14:textId="4EA3A89B" w:rsidR="00FD054F" w:rsidRPr="00C01F70" w:rsidRDefault="002B117C" w:rsidP="00FD054F">
      <w:pPr>
        <w:pStyle w:val="Heading2"/>
        <w:rPr>
          <w:color w:val="000000" w:themeColor="text1"/>
        </w:rPr>
      </w:pPr>
      <w:r w:rsidRPr="00C01F70">
        <w:rPr>
          <w:color w:val="000000" w:themeColor="text1"/>
          <w:vertAlign w:val="superscript"/>
        </w:rPr>
        <w:t>1</w:t>
      </w:r>
      <w:r w:rsidR="00B05193" w:rsidRPr="00C01F70">
        <w:rPr>
          <w:color w:val="000000" w:themeColor="text1"/>
          <w:szCs w:val="20"/>
        </w:rPr>
        <w:t xml:space="preserve">Heriot-Watt University, Edinburgh </w:t>
      </w:r>
      <w:r w:rsidR="00B05193" w:rsidRPr="00C01F70">
        <w:rPr>
          <w:color w:val="000000" w:themeColor="text1"/>
          <w:szCs w:val="20"/>
          <w:vertAlign w:val="superscript"/>
        </w:rPr>
        <w:t>2</w:t>
      </w:r>
      <w:r w:rsidR="00B05193" w:rsidRPr="00C01F70">
        <w:rPr>
          <w:color w:val="000000" w:themeColor="text1"/>
          <w:szCs w:val="20"/>
        </w:rPr>
        <w:t>Goethe-Universität, Frankfurt</w:t>
      </w:r>
      <w:r w:rsidR="00E40094" w:rsidRPr="00C01F70">
        <w:rPr>
          <w:color w:val="000000" w:themeColor="text1"/>
          <w:szCs w:val="20"/>
        </w:rPr>
        <w:t xml:space="preserve">, </w:t>
      </w:r>
      <w:r w:rsidR="00B05193" w:rsidRPr="00C01F70">
        <w:rPr>
          <w:color w:val="000000" w:themeColor="text1"/>
          <w:szCs w:val="20"/>
          <w:vertAlign w:val="superscript"/>
        </w:rPr>
        <w:t>3</w:t>
      </w:r>
      <w:r w:rsidR="00FD054F" w:rsidRPr="00C01F70">
        <w:rPr>
          <w:color w:val="000000" w:themeColor="text1"/>
          <w:szCs w:val="20"/>
        </w:rPr>
        <w:t xml:space="preserve">Universität </w:t>
      </w:r>
      <w:proofErr w:type="spellStart"/>
      <w:r w:rsidR="00FD054F" w:rsidRPr="00C01F70">
        <w:rPr>
          <w:color w:val="000000" w:themeColor="text1"/>
          <w:szCs w:val="20"/>
        </w:rPr>
        <w:t>zu</w:t>
      </w:r>
      <w:proofErr w:type="spellEnd"/>
      <w:r w:rsidR="00FD054F" w:rsidRPr="00C01F70">
        <w:rPr>
          <w:color w:val="000000" w:themeColor="text1"/>
          <w:szCs w:val="20"/>
        </w:rPr>
        <w:t xml:space="preserve"> Köln, Köln</w:t>
      </w:r>
      <w:r w:rsidR="00E40094" w:rsidRPr="00C01F70">
        <w:rPr>
          <w:color w:val="000000" w:themeColor="text1"/>
          <w:szCs w:val="20"/>
        </w:rPr>
        <w:t xml:space="preserve">, </w:t>
      </w:r>
      <w:r w:rsidR="00E40094" w:rsidRPr="00C01F70">
        <w:rPr>
          <w:color w:val="000000" w:themeColor="text1"/>
          <w:szCs w:val="20"/>
          <w:vertAlign w:val="superscript"/>
        </w:rPr>
        <w:t>4</w:t>
      </w:r>
      <w:r w:rsidR="00C01F70" w:rsidRPr="00C01F70">
        <w:rPr>
          <w:color w:val="000000" w:themeColor="text1"/>
          <w:szCs w:val="20"/>
        </w:rPr>
        <w:t>Indiana University, Bloomington</w:t>
      </w:r>
      <w:r w:rsidR="00E40094" w:rsidRPr="00C01F70">
        <w:rPr>
          <w:color w:val="000000" w:themeColor="text1"/>
          <w:szCs w:val="20"/>
        </w:rPr>
        <w:t xml:space="preserve">, </w:t>
      </w:r>
      <w:r w:rsidR="00C01F70" w:rsidRPr="00C01F70">
        <w:rPr>
          <w:color w:val="000000" w:themeColor="text1"/>
          <w:szCs w:val="20"/>
          <w:vertAlign w:val="superscript"/>
        </w:rPr>
        <w:t>5</w:t>
      </w:r>
      <w:r w:rsidR="00C01F70" w:rsidRPr="00C01F70">
        <w:rPr>
          <w:color w:val="000000" w:themeColor="text1"/>
          <w:szCs w:val="20"/>
        </w:rPr>
        <w:t>Utrecht University, Utrecht</w:t>
      </w:r>
      <w:r w:rsidR="00E40094" w:rsidRPr="00C01F70">
        <w:rPr>
          <w:color w:val="000000" w:themeColor="text1"/>
          <w:szCs w:val="20"/>
        </w:rPr>
        <w:t>,</w:t>
      </w:r>
      <w:r w:rsidR="00FD054F" w:rsidRPr="00C01F70">
        <w:rPr>
          <w:color w:val="000000" w:themeColor="text1"/>
          <w:szCs w:val="20"/>
        </w:rPr>
        <w:t xml:space="preserve"> </w:t>
      </w:r>
      <w:r w:rsidR="00E40094" w:rsidRPr="00C01F70">
        <w:rPr>
          <w:color w:val="000000" w:themeColor="text1"/>
          <w:szCs w:val="20"/>
          <w:vertAlign w:val="superscript"/>
        </w:rPr>
        <w:t>6</w:t>
      </w:r>
      <w:r w:rsidR="00FD054F" w:rsidRPr="00C01F70">
        <w:rPr>
          <w:color w:val="000000" w:themeColor="text1"/>
          <w:szCs w:val="20"/>
        </w:rPr>
        <w:t xml:space="preserve">Alfred-Wegener Institute for Polar and Marine Research, Bremerhaven </w:t>
      </w:r>
      <w:r w:rsidR="00E40094" w:rsidRPr="00C01F70">
        <w:rPr>
          <w:color w:val="000000" w:themeColor="text1"/>
          <w:szCs w:val="20"/>
          <w:vertAlign w:val="superscript"/>
        </w:rPr>
        <w:t>7</w:t>
      </w:r>
      <w:r w:rsidR="00FD054F" w:rsidRPr="00C01F70">
        <w:rPr>
          <w:color w:val="000000" w:themeColor="text1"/>
          <w:szCs w:val="20"/>
        </w:rPr>
        <w:t>Heidelberg University</w:t>
      </w:r>
      <w:r w:rsidR="00E40094" w:rsidRPr="00C01F70">
        <w:rPr>
          <w:color w:val="000000" w:themeColor="text1"/>
          <w:szCs w:val="20"/>
        </w:rPr>
        <w:t xml:space="preserve">, </w:t>
      </w:r>
      <w:r w:rsidR="00E40094" w:rsidRPr="00C01F70">
        <w:rPr>
          <w:color w:val="000000" w:themeColor="text1"/>
          <w:szCs w:val="20"/>
          <w:vertAlign w:val="superscript"/>
        </w:rPr>
        <w:t>8</w:t>
      </w:r>
      <w:r w:rsidR="00FD054F" w:rsidRPr="00C01F70">
        <w:rPr>
          <w:color w:val="000000" w:themeColor="text1"/>
          <w:szCs w:val="20"/>
        </w:rPr>
        <w:t>I</w:t>
      </w:r>
      <w:r w:rsidR="00C01F70">
        <w:rPr>
          <w:color w:val="000000" w:themeColor="text1"/>
          <w:szCs w:val="20"/>
        </w:rPr>
        <w:t xml:space="preserve">ODP </w:t>
      </w:r>
      <w:r w:rsidR="00FD054F" w:rsidRPr="00C01F70">
        <w:rPr>
          <w:color w:val="000000" w:themeColor="text1"/>
          <w:szCs w:val="20"/>
        </w:rPr>
        <w:t>Texas A&amp;M University</w:t>
      </w:r>
    </w:p>
    <w:p w14:paraId="19EF5668" w14:textId="47FD70E9" w:rsidR="002B117C" w:rsidRPr="002B117C" w:rsidRDefault="002B117C" w:rsidP="002B117C">
      <w:pPr>
        <w:pStyle w:val="Heading2"/>
      </w:pPr>
      <w:r w:rsidRPr="002B117C">
        <w:t xml:space="preserve">*Presenting Author, </w:t>
      </w:r>
      <w:r w:rsidR="0097722C" w:rsidRPr="0097722C">
        <w:rPr>
          <w:rStyle w:val="Hyperlink"/>
          <w:color w:val="auto"/>
          <w:u w:val="none"/>
        </w:rPr>
        <w:t>boa3@hw.ac.uk</w:t>
      </w:r>
    </w:p>
    <w:p w14:paraId="0098167E" w14:textId="0600DF3B" w:rsidR="002B117C" w:rsidRDefault="002B117C"/>
    <w:p w14:paraId="6AC2EE2B" w14:textId="1ABF10FE" w:rsidR="00FD054F" w:rsidRDefault="00FD054F" w:rsidP="00FD054F">
      <w:pPr>
        <w:spacing w:line="276" w:lineRule="auto"/>
      </w:pPr>
      <w:r>
        <w:t>IODP Expedition 392 drill sites on the Agulhas Plateau and Transkei Basin were located at high latitudes during the Late Cretaceous (65°–58°S) and positioned in the gateway between the opening South Atlantic, Southern Ocean, and southern Indian Ocean basins</w:t>
      </w:r>
      <w:r w:rsidR="0097722C">
        <w:t xml:space="preserve"> (Uenzelmann-Neben et al., 2022)</w:t>
      </w:r>
      <w:r>
        <w:t>.</w:t>
      </w:r>
    </w:p>
    <w:p w14:paraId="7A1AE943" w14:textId="77882AD5" w:rsidR="00FD054F" w:rsidRDefault="00FD054F" w:rsidP="00FD054F">
      <w:pPr>
        <w:spacing w:line="276" w:lineRule="auto"/>
      </w:pPr>
      <w:r>
        <w:t>A ~994 m thick Pleistocene–Campanian succession composed of calcareous and siliciclastic sediments was recovered at Site U1581 from the central Transkei Basin. Shipboard observations confirm</w:t>
      </w:r>
      <w:r w:rsidR="002426D9">
        <w:t>ed</w:t>
      </w:r>
      <w:r>
        <w:t xml:space="preserve"> two principally different lithofacies in the Cretaceous: mudstones and coarser-grained silt and sandstone, suggesting </w:t>
      </w:r>
      <w:r w:rsidR="00941F5C">
        <w:t>contrasting</w:t>
      </w:r>
      <w:r w:rsidR="0097722C">
        <w:t xml:space="preserve"> </w:t>
      </w:r>
      <w:r>
        <w:t>sedimentation processes</w:t>
      </w:r>
      <w:r w:rsidR="00B40F00">
        <w:t>,</w:t>
      </w:r>
      <w:r>
        <w:t xml:space="preserve"> </w:t>
      </w:r>
      <w:proofErr w:type="spellStart"/>
      <w:r>
        <w:t>i</w:t>
      </w:r>
      <w:proofErr w:type="spellEnd"/>
      <w:r>
        <w:t xml:space="preserve">) </w:t>
      </w:r>
      <w:r w:rsidR="0097722C">
        <w:t xml:space="preserve">pelagic deposition </w:t>
      </w:r>
      <w:r>
        <w:t xml:space="preserve">and ii) localized event-driven sedimentation, respectively. </w:t>
      </w:r>
      <w:r w:rsidR="0097722C">
        <w:t xml:space="preserve">Initial </w:t>
      </w:r>
      <w:r>
        <w:t xml:space="preserve">findings from bulk geochemical analysis </w:t>
      </w:r>
      <w:r w:rsidR="0097722C">
        <w:t xml:space="preserve">show </w:t>
      </w:r>
      <w:r>
        <w:t xml:space="preserve">variations and similarities </w:t>
      </w:r>
      <w:r w:rsidR="0097722C">
        <w:t>between</w:t>
      </w:r>
      <w:r>
        <w:t xml:space="preserve"> </w:t>
      </w:r>
      <w:r w:rsidR="0097722C">
        <w:t>both sediment types</w:t>
      </w:r>
      <w:r>
        <w:t xml:space="preserve">. We present high-resolution Maastrichtian to Campanian bulk geochemical records to explore </w:t>
      </w:r>
      <w:r w:rsidR="0097722C">
        <w:t xml:space="preserve">controls on the </w:t>
      </w:r>
      <w:r>
        <w:t>organic carbon system in the Cretaceous Transkei Basin.</w:t>
      </w:r>
    </w:p>
    <w:p w14:paraId="1B97745E" w14:textId="02592C0D" w:rsidR="0080439C" w:rsidRDefault="00FD054F" w:rsidP="0080439C">
      <w:pPr>
        <w:spacing w:line="276" w:lineRule="auto"/>
      </w:pPr>
      <w:r>
        <w:t xml:space="preserve">Bulk geochemical analysis </w:t>
      </w:r>
      <w:r w:rsidR="003D42BE">
        <w:t xml:space="preserve">on </w:t>
      </w:r>
      <w:r>
        <w:t>a total of 518 samples</w:t>
      </w:r>
      <w:r w:rsidR="003D42BE">
        <w:t xml:space="preserve"> (shipboard and post-cruise)</w:t>
      </w:r>
      <w:r>
        <w:t xml:space="preserve"> </w:t>
      </w:r>
      <w:r w:rsidR="00941F5C">
        <w:t xml:space="preserve">were </w:t>
      </w:r>
      <w:r>
        <w:t xml:space="preserve">obtained from a 582 m thick middle </w:t>
      </w:r>
      <w:proofErr w:type="spellStart"/>
      <w:r>
        <w:t>Paleocene</w:t>
      </w:r>
      <w:proofErr w:type="spellEnd"/>
      <w:r>
        <w:t xml:space="preserve"> to Campanian section</w:t>
      </w:r>
      <w:r w:rsidR="00941F5C">
        <w:t xml:space="preserve"> (</w:t>
      </w:r>
      <w:r>
        <w:t>average depth resolution 1.1</w:t>
      </w:r>
      <w:r w:rsidR="00E73ADB">
        <w:t xml:space="preserve"> </w:t>
      </w:r>
      <w:r>
        <w:t>m</w:t>
      </w:r>
      <w:r w:rsidR="00E73ADB">
        <w:t xml:space="preserve"> or ~</w:t>
      </w:r>
      <w:r>
        <w:t>6</w:t>
      </w:r>
      <w:r w:rsidR="00E73ADB">
        <w:t xml:space="preserve">0 </w:t>
      </w:r>
      <w:proofErr w:type="spellStart"/>
      <w:r w:rsidR="00CF37F4">
        <w:t>Kyrs</w:t>
      </w:r>
      <w:proofErr w:type="spellEnd"/>
      <w:r w:rsidR="00941F5C">
        <w:t>)</w:t>
      </w:r>
      <w:r>
        <w:t xml:space="preserve">. We applied </w:t>
      </w:r>
      <w:r w:rsidR="00941F5C">
        <w:t xml:space="preserve">a </w:t>
      </w:r>
      <w:r>
        <w:t xml:space="preserve">detailed sediment facies analysis, identifying 6 lithologies using spectrally improved core photographs and shipboard information. Facies A, B, and C, consisting of fine-grained mudstones, </w:t>
      </w:r>
      <w:r w:rsidR="00941F5C">
        <w:t>are</w:t>
      </w:r>
      <w:r w:rsidR="00E73ADB">
        <w:t xml:space="preserve"> interpreted </w:t>
      </w:r>
      <w:r w:rsidR="00941F5C">
        <w:t xml:space="preserve">as </w:t>
      </w:r>
      <w:r>
        <w:t xml:space="preserve">pelagic </w:t>
      </w:r>
      <w:r w:rsidR="00B40F00">
        <w:t>deposits</w:t>
      </w:r>
      <w:r>
        <w:t xml:space="preserve">, while facies D, E, and F </w:t>
      </w:r>
      <w:r w:rsidR="00941F5C">
        <w:t>of</w:t>
      </w:r>
      <w:r>
        <w:t xml:space="preserve"> coarse-grained silt and sandstone</w:t>
      </w:r>
      <w:r w:rsidR="00941F5C">
        <w:t>s</w:t>
      </w:r>
      <w:r>
        <w:t xml:space="preserve"> </w:t>
      </w:r>
      <w:r w:rsidR="00941F5C">
        <w:t>represent</w:t>
      </w:r>
      <w:r w:rsidR="00E73ADB">
        <w:t xml:space="preserve"> </w:t>
      </w:r>
      <w:r w:rsidR="003F3812">
        <w:t xml:space="preserve">mass transport and therefore </w:t>
      </w:r>
      <w:r>
        <w:t xml:space="preserve">event-driven </w:t>
      </w:r>
      <w:r w:rsidR="00B40F00">
        <w:t xml:space="preserve">processes </w:t>
      </w:r>
      <w:r w:rsidR="00E73ADB">
        <w:t>(</w:t>
      </w:r>
      <w:proofErr w:type="spellStart"/>
      <w:r w:rsidR="00E73ADB">
        <w:t>e.g</w:t>
      </w:r>
      <w:proofErr w:type="spellEnd"/>
      <w:r w:rsidR="00E73ADB">
        <w:t xml:space="preserve"> turbidites)</w:t>
      </w:r>
      <w:r>
        <w:t xml:space="preserve">. </w:t>
      </w:r>
      <w:r w:rsidR="002426D9">
        <w:t>Total organic carbon (</w:t>
      </w:r>
      <w:r>
        <w:t>TOC</w:t>
      </w:r>
      <w:r w:rsidR="002426D9">
        <w:t>)</w:t>
      </w:r>
      <w:r>
        <w:t xml:space="preserve"> </w:t>
      </w:r>
      <w:r w:rsidR="002426D9">
        <w:t xml:space="preserve">is overall low, </w:t>
      </w:r>
      <w:r>
        <w:t>ranging from</w:t>
      </w:r>
      <w:r w:rsidR="003F3812">
        <w:t xml:space="preserve"> just above</w:t>
      </w:r>
      <w:r>
        <w:t xml:space="preserve"> 0% to 1.2%</w:t>
      </w:r>
      <w:r w:rsidR="00E73ADB">
        <w:t xml:space="preserve">, </w:t>
      </w:r>
      <w:r>
        <w:t>with a mean value of 0.</w:t>
      </w:r>
      <w:r w:rsidR="003F3812">
        <w:t>5</w:t>
      </w:r>
      <w:r>
        <w:t xml:space="preserve">%. </w:t>
      </w:r>
      <w:r w:rsidR="002426D9">
        <w:t>We analyse TOC and bulk organic stable carbon isotope (</w:t>
      </w:r>
      <w:r w:rsidR="00864E13">
        <w:rPr>
          <w:rFonts w:cs="Arial"/>
        </w:rPr>
        <w:t>δ</w:t>
      </w:r>
      <w:r w:rsidR="002426D9" w:rsidRPr="00C01F70">
        <w:rPr>
          <w:vertAlign w:val="superscript"/>
        </w:rPr>
        <w:t>13</w:t>
      </w:r>
      <w:r w:rsidR="002426D9">
        <w:t>C</w:t>
      </w:r>
      <w:r w:rsidR="002426D9" w:rsidRPr="00C01F70">
        <w:rPr>
          <w:vertAlign w:val="subscript"/>
        </w:rPr>
        <w:t>org</w:t>
      </w:r>
      <w:r w:rsidR="002426D9">
        <w:t xml:space="preserve">) down core and </w:t>
      </w:r>
      <w:r w:rsidR="00EA632B">
        <w:t xml:space="preserve">for their </w:t>
      </w:r>
      <w:r w:rsidR="002426D9">
        <w:t>relationships</w:t>
      </w:r>
      <w:r w:rsidR="00941F5C">
        <w:t xml:space="preserve"> between both variables</w:t>
      </w:r>
      <w:r w:rsidR="002426D9">
        <w:t xml:space="preserve"> to distinguish pelagic and </w:t>
      </w:r>
      <w:r w:rsidR="00981138">
        <w:t>mass transport</w:t>
      </w:r>
      <w:r w:rsidR="002426D9">
        <w:t xml:space="preserve"> sediment</w:t>
      </w:r>
      <w:r w:rsidR="00EA632B">
        <w:t>ation</w:t>
      </w:r>
      <w:r w:rsidR="002426D9">
        <w:t>.</w:t>
      </w:r>
      <w:r>
        <w:t xml:space="preserve"> </w:t>
      </w:r>
    </w:p>
    <w:p w14:paraId="37E8EDC3" w14:textId="2C9C2471" w:rsidR="00FD054F" w:rsidRDefault="003F3812" w:rsidP="00FD054F">
      <w:pPr>
        <w:spacing w:line="276" w:lineRule="auto"/>
      </w:pPr>
      <w:r>
        <w:t xml:space="preserve">TOC </w:t>
      </w:r>
      <w:r w:rsidR="0080439C">
        <w:t xml:space="preserve">is </w:t>
      </w:r>
      <w:r>
        <w:t xml:space="preserve">relatively </w:t>
      </w:r>
      <w:r w:rsidR="0080439C">
        <w:t xml:space="preserve">low and </w:t>
      </w:r>
      <w:r w:rsidR="002426D9">
        <w:t xml:space="preserve">rather </w:t>
      </w:r>
      <w:r w:rsidR="0080439C">
        <w:t>constant</w:t>
      </w:r>
      <w:r w:rsidR="00981138" w:rsidRPr="00981138">
        <w:t xml:space="preserve"> </w:t>
      </w:r>
      <w:r w:rsidR="00981138">
        <w:t>in the Cretaceous Transkei Basin</w:t>
      </w:r>
      <w:r w:rsidR="0080439C">
        <w:t xml:space="preserve">, suggesting persistent and efficient </w:t>
      </w:r>
      <w:r>
        <w:t xml:space="preserve">processes impacting </w:t>
      </w:r>
      <w:r w:rsidR="0080439C">
        <w:t xml:space="preserve">organic carbon burial. We </w:t>
      </w:r>
      <w:r>
        <w:t xml:space="preserve">suggest </w:t>
      </w:r>
      <w:r w:rsidR="0080439C">
        <w:t xml:space="preserve">that </w:t>
      </w:r>
      <w:r>
        <w:t xml:space="preserve">the </w:t>
      </w:r>
      <w:r w:rsidR="0080439C">
        <w:t xml:space="preserve">strong geochemical similarities between pelagic and </w:t>
      </w:r>
      <w:r>
        <w:t>mass transport</w:t>
      </w:r>
      <w:r w:rsidR="0080439C">
        <w:t xml:space="preserve"> sediments </w:t>
      </w:r>
      <w:r w:rsidR="002426D9">
        <w:t xml:space="preserve">reflect </w:t>
      </w:r>
      <w:r w:rsidR="0080439C">
        <w:t xml:space="preserve">persistent oxic redox conditions </w:t>
      </w:r>
      <w:r>
        <w:t>which drove</w:t>
      </w:r>
      <w:r w:rsidR="0080439C">
        <w:t xml:space="preserve"> </w:t>
      </w:r>
      <w:r>
        <w:t>effective remineralisation</w:t>
      </w:r>
      <w:r w:rsidR="0080439C">
        <w:t xml:space="preserve"> of the organic fraction</w:t>
      </w:r>
      <w:r>
        <w:t>, despite overall elevated sedimentation rates</w:t>
      </w:r>
      <w:r w:rsidR="0080439C">
        <w:t xml:space="preserve">. </w:t>
      </w:r>
    </w:p>
    <w:p w14:paraId="3DA76AD8" w14:textId="23A09397" w:rsidR="002B117C" w:rsidRPr="00132F51" w:rsidRDefault="002B117C" w:rsidP="00132F51">
      <w:pPr>
        <w:pStyle w:val="Quote"/>
      </w:pPr>
      <w:r w:rsidRPr="00132F51">
        <w:t>References</w:t>
      </w:r>
    </w:p>
    <w:p w14:paraId="22E101C1" w14:textId="2BE0B8DC" w:rsidR="002B117C" w:rsidRPr="00E40094" w:rsidRDefault="00E67917" w:rsidP="00132F51">
      <w:pPr>
        <w:pStyle w:val="Heading4"/>
        <w:rPr>
          <w:rFonts w:cs="Arial"/>
          <w:sz w:val="22"/>
          <w:szCs w:val="22"/>
        </w:rPr>
      </w:pPr>
      <w:r w:rsidRPr="00E40094">
        <w:rPr>
          <w:rFonts w:cs="Arial"/>
          <w:color w:val="212529"/>
          <w:sz w:val="22"/>
          <w:szCs w:val="22"/>
          <w:shd w:val="clear" w:color="auto" w:fill="FFFFFF"/>
        </w:rPr>
        <w:t xml:space="preserve">Gabriele Uenzelmann-Neben, Steven M. </w:t>
      </w:r>
      <w:proofErr w:type="spellStart"/>
      <w:r w:rsidRPr="00E40094">
        <w:rPr>
          <w:rFonts w:cs="Arial"/>
          <w:color w:val="212529"/>
          <w:sz w:val="22"/>
          <w:szCs w:val="22"/>
          <w:shd w:val="clear" w:color="auto" w:fill="FFFFFF"/>
        </w:rPr>
        <w:t>Bohaty</w:t>
      </w:r>
      <w:proofErr w:type="spellEnd"/>
      <w:r w:rsidRPr="00E40094">
        <w:rPr>
          <w:rFonts w:cs="Arial"/>
          <w:color w:val="212529"/>
          <w:sz w:val="22"/>
          <w:szCs w:val="22"/>
          <w:shd w:val="clear" w:color="auto" w:fill="FFFFFF"/>
        </w:rPr>
        <w:t>, Laurel B. Childress, and the Expedition 392 Scientists, 2022.</w:t>
      </w:r>
      <w:r w:rsidRPr="00E40094">
        <w:rPr>
          <w:rStyle w:val="apple-converted-space"/>
          <w:rFonts w:cs="Arial"/>
          <w:color w:val="212529"/>
          <w:sz w:val="22"/>
          <w:szCs w:val="22"/>
          <w:shd w:val="clear" w:color="auto" w:fill="FFFFFF"/>
        </w:rPr>
        <w:t> </w:t>
      </w:r>
      <w:r w:rsidRPr="00E40094">
        <w:rPr>
          <w:rStyle w:val="Emphasis"/>
          <w:rFonts w:cs="Arial"/>
          <w:color w:val="212529"/>
          <w:sz w:val="22"/>
          <w:szCs w:val="22"/>
        </w:rPr>
        <w:t>Expedition 392 Preliminary Report: Agulhas Plateau Cretaceous Climate</w:t>
      </w:r>
      <w:r w:rsidRPr="00E40094">
        <w:rPr>
          <w:rFonts w:cs="Arial"/>
          <w:color w:val="212529"/>
          <w:sz w:val="22"/>
          <w:szCs w:val="22"/>
          <w:shd w:val="clear" w:color="auto" w:fill="FFFFFF"/>
        </w:rPr>
        <w:t xml:space="preserve">. International Ocean Discovery Program. </w:t>
      </w:r>
      <w:hyperlink r:id="rId4" w:history="1">
        <w:r w:rsidRPr="00E40094">
          <w:rPr>
            <w:rStyle w:val="Hyperlink"/>
            <w:rFonts w:cs="Arial"/>
            <w:sz w:val="22"/>
            <w:szCs w:val="22"/>
            <w:shd w:val="clear" w:color="auto" w:fill="FFFFFF"/>
          </w:rPr>
          <w:t>https://doi.org/10.14379/iodp.pr.392.2022</w:t>
        </w:r>
      </w:hyperlink>
    </w:p>
    <w:sectPr w:rsidR="002B117C" w:rsidRPr="00E40094" w:rsidSect="00FA2DA1">
      <w:pgSz w:w="11900" w:h="16840"/>
      <w:pgMar w:top="1701" w:right="1474" w:bottom="147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7C"/>
    <w:rsid w:val="00014AD2"/>
    <w:rsid w:val="00037D15"/>
    <w:rsid w:val="0004103B"/>
    <w:rsid w:val="0008099F"/>
    <w:rsid w:val="00132F51"/>
    <w:rsid w:val="00134C67"/>
    <w:rsid w:val="0017156E"/>
    <w:rsid w:val="00191D89"/>
    <w:rsid w:val="001D3FB1"/>
    <w:rsid w:val="001E2B8A"/>
    <w:rsid w:val="002426D9"/>
    <w:rsid w:val="002B117C"/>
    <w:rsid w:val="00316026"/>
    <w:rsid w:val="003B02EC"/>
    <w:rsid w:val="003D42BE"/>
    <w:rsid w:val="003F3812"/>
    <w:rsid w:val="00414F71"/>
    <w:rsid w:val="004A38E6"/>
    <w:rsid w:val="004C5ED1"/>
    <w:rsid w:val="005623A0"/>
    <w:rsid w:val="00563691"/>
    <w:rsid w:val="00570AF4"/>
    <w:rsid w:val="0059259C"/>
    <w:rsid w:val="006034AE"/>
    <w:rsid w:val="00620E79"/>
    <w:rsid w:val="006968F6"/>
    <w:rsid w:val="006A57E0"/>
    <w:rsid w:val="00755F2A"/>
    <w:rsid w:val="0080439C"/>
    <w:rsid w:val="00813173"/>
    <w:rsid w:val="0082208D"/>
    <w:rsid w:val="00843754"/>
    <w:rsid w:val="00864E13"/>
    <w:rsid w:val="00876E48"/>
    <w:rsid w:val="00941F5C"/>
    <w:rsid w:val="0097722C"/>
    <w:rsid w:val="00981138"/>
    <w:rsid w:val="009A43C4"/>
    <w:rsid w:val="00A16D25"/>
    <w:rsid w:val="00A467B4"/>
    <w:rsid w:val="00AA4171"/>
    <w:rsid w:val="00AE08FE"/>
    <w:rsid w:val="00B05193"/>
    <w:rsid w:val="00B40F00"/>
    <w:rsid w:val="00B7032C"/>
    <w:rsid w:val="00B906CA"/>
    <w:rsid w:val="00C01F70"/>
    <w:rsid w:val="00CC21EB"/>
    <w:rsid w:val="00CE5BA8"/>
    <w:rsid w:val="00CF05D5"/>
    <w:rsid w:val="00CF315C"/>
    <w:rsid w:val="00CF37F4"/>
    <w:rsid w:val="00D71758"/>
    <w:rsid w:val="00DA56A3"/>
    <w:rsid w:val="00DB18E4"/>
    <w:rsid w:val="00DE127E"/>
    <w:rsid w:val="00E372DE"/>
    <w:rsid w:val="00E40094"/>
    <w:rsid w:val="00E64593"/>
    <w:rsid w:val="00E67917"/>
    <w:rsid w:val="00E73ADB"/>
    <w:rsid w:val="00EA632B"/>
    <w:rsid w:val="00EF0E46"/>
    <w:rsid w:val="00FA2DA1"/>
    <w:rsid w:val="00FD054F"/>
    <w:rsid w:val="00FE0B64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A852"/>
  <w15:chartTrackingRefBased/>
  <w15:docId w15:val="{C0388E27-0294-934D-A8D4-719881A0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F51"/>
    <w:pPr>
      <w:spacing w:before="120"/>
    </w:pPr>
    <w:rPr>
      <w:rFonts w:ascii="Arial" w:hAnsi="Arial"/>
      <w:sz w:val="22"/>
    </w:rPr>
  </w:style>
  <w:style w:type="paragraph" w:styleId="Heading1">
    <w:name w:val="heading 1"/>
    <w:aliases w:val="Abstract Title"/>
    <w:basedOn w:val="Normal"/>
    <w:next w:val="Normal"/>
    <w:link w:val="Heading1Char"/>
    <w:uiPriority w:val="9"/>
    <w:qFormat/>
    <w:rsid w:val="002B117C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Author information"/>
    <w:basedOn w:val="Normal"/>
    <w:next w:val="Normal"/>
    <w:link w:val="Heading2Char"/>
    <w:uiPriority w:val="9"/>
    <w:unhideWhenUsed/>
    <w:qFormat/>
    <w:rsid w:val="002B117C"/>
    <w:pPr>
      <w:jc w:val="center"/>
      <w:outlineLvl w:val="1"/>
    </w:pPr>
    <w:rPr>
      <w:i/>
      <w:iCs/>
      <w:sz w:val="20"/>
    </w:rPr>
  </w:style>
  <w:style w:type="paragraph" w:styleId="Heading3">
    <w:name w:val="heading 3"/>
    <w:aliases w:val="Authors"/>
    <w:basedOn w:val="Heading2"/>
    <w:next w:val="Normal"/>
    <w:link w:val="Heading3Char"/>
    <w:uiPriority w:val="9"/>
    <w:unhideWhenUsed/>
    <w:qFormat/>
    <w:rsid w:val="00132F51"/>
    <w:pPr>
      <w:outlineLvl w:val="2"/>
    </w:pPr>
    <w:rPr>
      <w:i w:val="0"/>
      <w:iCs w:val="0"/>
      <w:sz w:val="22"/>
      <w:szCs w:val="22"/>
    </w:rPr>
  </w:style>
  <w:style w:type="paragraph" w:styleId="Heading4">
    <w:name w:val="heading 4"/>
    <w:aliases w:val="Reference list"/>
    <w:basedOn w:val="Normal"/>
    <w:next w:val="Normal"/>
    <w:link w:val="Heading4Char"/>
    <w:uiPriority w:val="9"/>
    <w:unhideWhenUsed/>
    <w:qFormat/>
    <w:rsid w:val="00132F51"/>
    <w:pPr>
      <w:outlineLvl w:val="3"/>
    </w:pPr>
    <w:rPr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32F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1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17C"/>
    <w:rPr>
      <w:color w:val="605E5C"/>
      <w:shd w:val="clear" w:color="auto" w:fill="E1DFDD"/>
    </w:rPr>
  </w:style>
  <w:style w:type="character" w:customStyle="1" w:styleId="Heading1Char">
    <w:name w:val="Heading 1 Char"/>
    <w:aliases w:val="Abstract Title Char"/>
    <w:basedOn w:val="DefaultParagraphFont"/>
    <w:link w:val="Heading1"/>
    <w:uiPriority w:val="9"/>
    <w:rsid w:val="002B117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Author information Char"/>
    <w:basedOn w:val="DefaultParagraphFont"/>
    <w:link w:val="Heading2"/>
    <w:uiPriority w:val="9"/>
    <w:rsid w:val="002B117C"/>
    <w:rPr>
      <w:rFonts w:ascii="Arial" w:hAnsi="Arial"/>
      <w:i/>
      <w:iCs/>
      <w:sz w:val="20"/>
    </w:rPr>
  </w:style>
  <w:style w:type="character" w:customStyle="1" w:styleId="Heading3Char">
    <w:name w:val="Heading 3 Char"/>
    <w:aliases w:val="Authors Char"/>
    <w:basedOn w:val="DefaultParagraphFont"/>
    <w:link w:val="Heading3"/>
    <w:uiPriority w:val="9"/>
    <w:rsid w:val="00132F51"/>
    <w:rPr>
      <w:rFonts w:ascii="Arial" w:hAnsi="Arial"/>
      <w:sz w:val="22"/>
      <w:szCs w:val="22"/>
    </w:rPr>
  </w:style>
  <w:style w:type="character" w:customStyle="1" w:styleId="Heading4Char">
    <w:name w:val="Heading 4 Char"/>
    <w:aliases w:val="Reference list Char"/>
    <w:basedOn w:val="DefaultParagraphFont"/>
    <w:link w:val="Heading4"/>
    <w:uiPriority w:val="9"/>
    <w:rsid w:val="00132F51"/>
    <w:rPr>
      <w:rFonts w:ascii="Arial" w:hAnsi="Arial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132F51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Quote">
    <w:name w:val="Quote"/>
    <w:aliases w:val="References"/>
    <w:basedOn w:val="Normal"/>
    <w:next w:val="Normal"/>
    <w:link w:val="QuoteChar"/>
    <w:uiPriority w:val="29"/>
    <w:qFormat/>
    <w:rsid w:val="00132F51"/>
    <w:rPr>
      <w:b/>
      <w:bCs/>
    </w:rPr>
  </w:style>
  <w:style w:type="character" w:customStyle="1" w:styleId="QuoteChar">
    <w:name w:val="Quote Char"/>
    <w:aliases w:val="References Char"/>
    <w:basedOn w:val="DefaultParagraphFont"/>
    <w:link w:val="Quote"/>
    <w:uiPriority w:val="29"/>
    <w:rsid w:val="00132F51"/>
    <w:rPr>
      <w:rFonts w:ascii="Arial" w:hAnsi="Arial"/>
      <w:b/>
      <w:bCs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B0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2E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2EC"/>
    <w:rPr>
      <w:rFonts w:ascii="Arial" w:hAnsi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67917"/>
  </w:style>
  <w:style w:type="character" w:styleId="Emphasis">
    <w:name w:val="Emphasis"/>
    <w:basedOn w:val="DefaultParagraphFont"/>
    <w:uiPriority w:val="20"/>
    <w:qFormat/>
    <w:rsid w:val="00E67917"/>
    <w:rPr>
      <w:i/>
      <w:iCs/>
    </w:rPr>
  </w:style>
  <w:style w:type="paragraph" w:styleId="Revision">
    <w:name w:val="Revision"/>
    <w:hidden/>
    <w:uiPriority w:val="99"/>
    <w:semiHidden/>
    <w:rsid w:val="0097722C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E1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4379/iodp.pr.392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Coggon</dc:creator>
  <cp:keywords/>
  <dc:description/>
  <cp:lastModifiedBy>Gabriele Uenzelmann-Neben</cp:lastModifiedBy>
  <cp:revision>2</cp:revision>
  <dcterms:created xsi:type="dcterms:W3CDTF">2023-06-09T07:23:00Z</dcterms:created>
  <dcterms:modified xsi:type="dcterms:W3CDTF">2023-06-09T07:23:00Z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e868ba9405a5ae85fb8bfb494847078d8214104464f4bfc5ca98bc3557cc88ed</vt:lpwstr>
  </property>
</Properties>
</file>